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D2F9" w14:textId="585D8BA5" w:rsidR="00F9758D" w:rsidRDefault="00F9758D" w:rsidP="00D26968">
      <w:pPr>
        <w:pStyle w:val="ListParagraph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240" w:after="120"/>
        <w:ind w:left="425" w:right="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659AD">
        <w:rPr>
          <w:rFonts w:ascii="Arial" w:hAnsi="Arial" w:cs="Arial"/>
          <w:sz w:val="22"/>
          <w:szCs w:val="22"/>
        </w:rPr>
        <w:t xml:space="preserve">In March 2021, the Public Advocate’s report, </w:t>
      </w:r>
      <w:r w:rsidRPr="001659AD">
        <w:rPr>
          <w:rFonts w:ascii="Arial" w:hAnsi="Arial" w:cs="Arial"/>
          <w:i/>
          <w:iCs/>
          <w:sz w:val="22"/>
          <w:szCs w:val="22"/>
        </w:rPr>
        <w:t xml:space="preserve">Preserving the financial futures of vulnerable Queenslanders: A Review of the Public Trustee’s fees, charges and practices </w:t>
      </w:r>
      <w:r w:rsidRPr="001659AD">
        <w:rPr>
          <w:rFonts w:ascii="Arial" w:hAnsi="Arial" w:cs="Arial"/>
          <w:sz w:val="22"/>
          <w:szCs w:val="22"/>
        </w:rPr>
        <w:t>(the Report), was tabled in the Legislative Assembly, together with the Government Response to the Report.</w:t>
      </w:r>
    </w:p>
    <w:p w14:paraId="1703C1DE" w14:textId="1CAC1C18" w:rsidR="00D16F0A" w:rsidRDefault="00D16F0A" w:rsidP="00D26968">
      <w:pPr>
        <w:pStyle w:val="ListParagraph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240"/>
        <w:ind w:left="425" w:right="6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response to recommendation 30 of that Report, Government committed to establishing an advisory and monitoring board to provide oversight over the Public Trustee.</w:t>
      </w:r>
    </w:p>
    <w:p w14:paraId="5CF9C12A" w14:textId="0DD70A93" w:rsidR="00D16F0A" w:rsidRDefault="00D16F0A" w:rsidP="00D26968">
      <w:pPr>
        <w:pStyle w:val="ListParagraph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240"/>
        <w:ind w:left="425" w:right="6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Public Trustee (Advisory and Monitoring Board) Amendment Bill 2021 (the Bill) amends the </w:t>
      </w:r>
      <w:r>
        <w:rPr>
          <w:rFonts w:ascii="Arial" w:hAnsi="Arial" w:cs="Arial"/>
          <w:i/>
          <w:iCs/>
          <w:sz w:val="22"/>
          <w:szCs w:val="22"/>
        </w:rPr>
        <w:t>Public Trustee Act 1978</w:t>
      </w:r>
      <w:r>
        <w:rPr>
          <w:rFonts w:ascii="Arial" w:hAnsi="Arial" w:cs="Arial"/>
          <w:sz w:val="22"/>
          <w:szCs w:val="22"/>
        </w:rPr>
        <w:t xml:space="preserve"> to establish the Public Trustee Advisory and Monitoring Board (the PTAM Board), to provide additional oversight over the Public Trustee to enhance its performance, transparency and public accountability. </w:t>
      </w:r>
    </w:p>
    <w:p w14:paraId="5674F52F" w14:textId="73B428CB" w:rsidR="00D16F0A" w:rsidRPr="00D16F0A" w:rsidRDefault="00D16F0A" w:rsidP="00D26968">
      <w:pPr>
        <w:pStyle w:val="ListParagraph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240"/>
        <w:ind w:left="425" w:right="6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key functions of the PTAM Board will </w:t>
      </w:r>
      <w:r w:rsidRPr="00D16F0A">
        <w:rPr>
          <w:rFonts w:ascii="Arial" w:hAnsi="Arial" w:cs="Arial"/>
          <w:sz w:val="22"/>
          <w:szCs w:val="22"/>
        </w:rPr>
        <w:t xml:space="preserve">be </w:t>
      </w:r>
      <w:bookmarkStart w:id="0" w:name="_Hlk83123059"/>
      <w:r w:rsidRPr="00D16F0A">
        <w:rPr>
          <w:rFonts w:ascii="Arial" w:hAnsi="Arial" w:cs="Arial"/>
          <w:sz w:val="22"/>
          <w:szCs w:val="22"/>
        </w:rPr>
        <w:t xml:space="preserve">to monitor </w:t>
      </w:r>
      <w:r>
        <w:rPr>
          <w:rFonts w:ascii="Arial" w:hAnsi="Arial" w:cs="Arial"/>
          <w:sz w:val="22"/>
          <w:szCs w:val="22"/>
        </w:rPr>
        <w:t xml:space="preserve">and review </w:t>
      </w:r>
      <w:r w:rsidRPr="00D16F0A">
        <w:rPr>
          <w:rFonts w:ascii="Arial" w:hAnsi="Arial" w:cs="Arial"/>
          <w:sz w:val="22"/>
          <w:szCs w:val="22"/>
        </w:rPr>
        <w:t>the performance of the Public Trustee’s functions and provide advice and make recommendations</w:t>
      </w:r>
      <w:r>
        <w:rPr>
          <w:rFonts w:ascii="Arial" w:hAnsi="Arial" w:cs="Arial"/>
          <w:sz w:val="22"/>
          <w:szCs w:val="22"/>
        </w:rPr>
        <w:t xml:space="preserve"> to both the Minister and the Public Trustee</w:t>
      </w:r>
      <w:r w:rsidRPr="00D16F0A">
        <w:rPr>
          <w:rFonts w:ascii="Arial" w:hAnsi="Arial" w:cs="Arial"/>
          <w:sz w:val="22"/>
          <w:szCs w:val="22"/>
        </w:rPr>
        <w:t xml:space="preserve"> about how the performance of these functions can be improved. </w:t>
      </w:r>
      <w:r w:rsidR="00E03360">
        <w:rPr>
          <w:rFonts w:ascii="Arial" w:hAnsi="Arial" w:cs="Arial"/>
          <w:sz w:val="22"/>
          <w:szCs w:val="22"/>
        </w:rPr>
        <w:t>The PTAM Board will not have any power to direct the Public Trustee or management powers.</w:t>
      </w:r>
    </w:p>
    <w:bookmarkEnd w:id="0"/>
    <w:p w14:paraId="593BB0A6" w14:textId="617B14D5" w:rsidR="00D16F0A" w:rsidRDefault="00D16F0A" w:rsidP="00D26968">
      <w:pPr>
        <w:pStyle w:val="ListParagraph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240"/>
        <w:ind w:left="425" w:right="6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PTAM Board will comprise a mix of ex-officio public servants (permanent Board members) and members with specific knowledge, qualifications and skills to be appointed by the Minister (appointed Board members). At </w:t>
      </w:r>
      <w:r w:rsidR="00E03360">
        <w:rPr>
          <w:rFonts w:ascii="Arial" w:hAnsi="Arial" w:cs="Arial"/>
          <w:sz w:val="22"/>
          <w:szCs w:val="22"/>
        </w:rPr>
        <w:t>least one appointed Board member is to be an Aboriginal person or Torres Strait Islander.</w:t>
      </w:r>
    </w:p>
    <w:p w14:paraId="7BF9F955" w14:textId="77777777" w:rsidR="001659AD" w:rsidRPr="00DA01A5" w:rsidRDefault="00F9758D" w:rsidP="00D26968">
      <w:pPr>
        <w:pStyle w:val="ListParagraph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240"/>
        <w:ind w:left="425" w:right="6" w:hanging="425"/>
        <w:contextualSpacing w:val="0"/>
        <w:jc w:val="both"/>
      </w:pPr>
      <w:r w:rsidRPr="001659AD">
        <w:rPr>
          <w:rFonts w:ascii="Arial" w:hAnsi="Arial" w:cs="Arial"/>
          <w:sz w:val="22"/>
          <w:szCs w:val="22"/>
          <w:u w:val="single"/>
        </w:rPr>
        <w:t>Cabinet approved</w:t>
      </w:r>
      <w:r w:rsidRPr="001659AD">
        <w:rPr>
          <w:rFonts w:ascii="Arial" w:hAnsi="Arial" w:cs="Arial"/>
          <w:sz w:val="22"/>
          <w:szCs w:val="22"/>
        </w:rPr>
        <w:t xml:space="preserve"> </w:t>
      </w:r>
      <w:r w:rsidR="001659AD">
        <w:rPr>
          <w:rFonts w:ascii="Arial" w:hAnsi="Arial" w:cs="Arial"/>
          <w:sz w:val="22"/>
          <w:szCs w:val="22"/>
        </w:rPr>
        <w:t>the introduction of the Public Trustee (Advisory and Monitoring Board) Amendment Bill 2021.</w:t>
      </w:r>
    </w:p>
    <w:p w14:paraId="09AF5034" w14:textId="69A4CDE7" w:rsidR="00F9758D" w:rsidRPr="001659AD" w:rsidRDefault="00F9758D" w:rsidP="00AC6DCC">
      <w:pPr>
        <w:pStyle w:val="ListParagraph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360"/>
        <w:ind w:left="425" w:right="6" w:hanging="425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1659AD">
        <w:rPr>
          <w:rFonts w:ascii="Arial" w:hAnsi="Arial" w:cs="Arial"/>
          <w:i/>
          <w:sz w:val="22"/>
          <w:szCs w:val="22"/>
          <w:u w:val="single"/>
        </w:rPr>
        <w:t>Attachments</w:t>
      </w:r>
      <w:r w:rsidR="00AC6DCC">
        <w:rPr>
          <w:rFonts w:ascii="Arial" w:hAnsi="Arial" w:cs="Arial"/>
          <w:iCs/>
          <w:sz w:val="22"/>
          <w:szCs w:val="22"/>
        </w:rPr>
        <w:t>:</w:t>
      </w:r>
    </w:p>
    <w:p w14:paraId="79E6CCAD" w14:textId="208E8F3D" w:rsidR="00732E22" w:rsidRPr="00AC6DCC" w:rsidRDefault="00DA0F93" w:rsidP="00D26968">
      <w:pPr>
        <w:pStyle w:val="ListParagraph"/>
        <w:numPr>
          <w:ilvl w:val="0"/>
          <w:numId w:val="6"/>
        </w:numPr>
        <w:spacing w:before="120"/>
        <w:ind w:left="850" w:hanging="357"/>
        <w:contextualSpacing w:val="0"/>
      </w:pPr>
      <w:hyperlink r:id="rId10" w:history="1">
        <w:r w:rsidR="001659AD" w:rsidRPr="00311E6E">
          <w:rPr>
            <w:rStyle w:val="Hyperlink"/>
            <w:rFonts w:ascii="Arial" w:hAnsi="Arial" w:cs="Arial"/>
            <w:sz w:val="22"/>
            <w:szCs w:val="22"/>
          </w:rPr>
          <w:t>Public Trustee (Advisory and Monitoring Board) Amendment Bill 2021</w:t>
        </w:r>
      </w:hyperlink>
    </w:p>
    <w:p w14:paraId="436EB1C3" w14:textId="3F652B04" w:rsidR="00AC6DCC" w:rsidRPr="00AC6DCC" w:rsidRDefault="00DA0F93" w:rsidP="00D26968">
      <w:pPr>
        <w:pStyle w:val="ListParagraph"/>
        <w:numPr>
          <w:ilvl w:val="0"/>
          <w:numId w:val="6"/>
        </w:numPr>
        <w:spacing w:before="120"/>
        <w:ind w:left="850" w:hanging="357"/>
        <w:contextualSpacing w:val="0"/>
      </w:pPr>
      <w:hyperlink r:id="rId11" w:history="1">
        <w:r w:rsidR="00AC6DCC" w:rsidRPr="00311E6E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6074F712" w14:textId="2BB27151" w:rsidR="00AC6DCC" w:rsidRPr="00DA01A5" w:rsidRDefault="00DA0F93" w:rsidP="00D26968">
      <w:pPr>
        <w:pStyle w:val="ListParagraph"/>
        <w:numPr>
          <w:ilvl w:val="0"/>
          <w:numId w:val="6"/>
        </w:numPr>
        <w:spacing w:before="120"/>
        <w:ind w:left="850" w:hanging="357"/>
        <w:contextualSpacing w:val="0"/>
      </w:pPr>
      <w:hyperlink r:id="rId12" w:history="1">
        <w:r w:rsidR="00AC6DCC" w:rsidRPr="00311E6E">
          <w:rPr>
            <w:rStyle w:val="Hyperlink"/>
            <w:rFonts w:ascii="Arial" w:hAnsi="Arial" w:cs="Arial"/>
            <w:sz w:val="22"/>
            <w:szCs w:val="22"/>
          </w:rPr>
          <w:t>Statement of Compatibility</w:t>
        </w:r>
      </w:hyperlink>
    </w:p>
    <w:sectPr w:rsidR="00AC6DCC" w:rsidRPr="00DA01A5" w:rsidSect="00D26968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144EC" w14:textId="77777777" w:rsidR="00DA0AD1" w:rsidRDefault="00DA0AD1" w:rsidP="00D6589B">
      <w:r>
        <w:separator/>
      </w:r>
    </w:p>
  </w:endnote>
  <w:endnote w:type="continuationSeparator" w:id="0">
    <w:p w14:paraId="6884AD35" w14:textId="77777777" w:rsidR="00DA0AD1" w:rsidRDefault="00DA0AD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6811" w14:textId="77777777" w:rsidR="00DA0AD1" w:rsidRDefault="00DA0AD1" w:rsidP="00D6589B">
      <w:r>
        <w:separator/>
      </w:r>
    </w:p>
  </w:footnote>
  <w:footnote w:type="continuationSeparator" w:id="0">
    <w:p w14:paraId="05871F0F" w14:textId="77777777" w:rsidR="00DA0AD1" w:rsidRDefault="00DA0AD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C7BE" w14:textId="77777777" w:rsidR="00A6162D" w:rsidRPr="00937A4A" w:rsidRDefault="00A6162D" w:rsidP="00A6162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14486C8" w14:textId="77777777" w:rsidR="00A6162D" w:rsidRPr="00937A4A" w:rsidRDefault="00A6162D" w:rsidP="00A6162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CF3A0CB" w14:textId="6DFB7BE6" w:rsidR="00A6162D" w:rsidRPr="00937A4A" w:rsidRDefault="00A6162D" w:rsidP="00A6162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October 2021</w:t>
    </w:r>
  </w:p>
  <w:p w14:paraId="496C4212" w14:textId="1D3265FF" w:rsidR="00A6162D" w:rsidRDefault="00B75ED6" w:rsidP="00A6162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B75ED6">
      <w:rPr>
        <w:rFonts w:ascii="Arial" w:hAnsi="Arial" w:cs="Arial"/>
        <w:b/>
        <w:sz w:val="22"/>
        <w:szCs w:val="22"/>
        <w:u w:val="single"/>
      </w:rPr>
      <w:t>Public Trustee (Advisory and Monitoring Board) Amendment Bill 2021</w:t>
    </w:r>
  </w:p>
  <w:p w14:paraId="0D79FD7A" w14:textId="36D7FC91" w:rsidR="00A6162D" w:rsidRDefault="00B75ED6" w:rsidP="00B75ED6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 w:rsidRPr="00B75ED6">
      <w:rPr>
        <w:rFonts w:ascii="Arial" w:hAnsi="Arial" w:cs="Arial"/>
        <w:b/>
        <w:sz w:val="22"/>
        <w:szCs w:val="22"/>
        <w:u w:val="single"/>
      </w:rPr>
      <w:t>Attorney-General and Minister for Justice, Minister for Women and Minister for the Prevention of Domestic and Family Violence</w:t>
    </w:r>
  </w:p>
  <w:p w14:paraId="17012217" w14:textId="77777777" w:rsidR="00D26968" w:rsidRDefault="00D26968" w:rsidP="00B75ED6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4E3B"/>
    <w:multiLevelType w:val="hybridMultilevel"/>
    <w:tmpl w:val="E2A0B8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D6341F"/>
    <w:multiLevelType w:val="hybridMultilevel"/>
    <w:tmpl w:val="8C06298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605472"/>
    <w:multiLevelType w:val="hybridMultilevel"/>
    <w:tmpl w:val="CA966F7A"/>
    <w:lvl w:ilvl="0" w:tplc="0409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" w15:restartNumberingAfterBreak="0">
    <w:nsid w:val="61C22D1B"/>
    <w:multiLevelType w:val="hybridMultilevel"/>
    <w:tmpl w:val="463CE7E2"/>
    <w:lvl w:ilvl="0" w:tplc="7864110E">
      <w:start w:val="1"/>
      <w:numFmt w:val="decimal"/>
      <w:lvlText w:val="%1."/>
      <w:lvlJc w:val="left"/>
      <w:pPr>
        <w:ind w:left="66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AU" w:eastAsia="en-US" w:bidi="ar-SA"/>
      </w:rPr>
    </w:lvl>
    <w:lvl w:ilvl="1" w:tplc="A35688B0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w w:val="100"/>
        <w:lang w:val="en-AU" w:eastAsia="en-US" w:bidi="ar-SA"/>
      </w:rPr>
    </w:lvl>
    <w:lvl w:ilvl="2" w:tplc="4B5A2AFC">
      <w:numFmt w:val="bullet"/>
      <w:lvlText w:val="•"/>
      <w:lvlJc w:val="left"/>
      <w:pPr>
        <w:ind w:left="1380" w:hanging="360"/>
      </w:pPr>
      <w:rPr>
        <w:rFonts w:hint="default"/>
        <w:lang w:val="en-AU" w:eastAsia="en-US" w:bidi="ar-SA"/>
      </w:rPr>
    </w:lvl>
    <w:lvl w:ilvl="3" w:tplc="4EF68796">
      <w:numFmt w:val="bullet"/>
      <w:lvlText w:val="•"/>
      <w:lvlJc w:val="left"/>
      <w:pPr>
        <w:ind w:left="2408" w:hanging="360"/>
      </w:pPr>
      <w:rPr>
        <w:rFonts w:hint="default"/>
        <w:lang w:val="en-AU" w:eastAsia="en-US" w:bidi="ar-SA"/>
      </w:rPr>
    </w:lvl>
    <w:lvl w:ilvl="4" w:tplc="26FC000A">
      <w:numFmt w:val="bullet"/>
      <w:lvlText w:val="•"/>
      <w:lvlJc w:val="left"/>
      <w:pPr>
        <w:ind w:left="3436" w:hanging="360"/>
      </w:pPr>
      <w:rPr>
        <w:rFonts w:hint="default"/>
        <w:lang w:val="en-AU" w:eastAsia="en-US" w:bidi="ar-SA"/>
      </w:rPr>
    </w:lvl>
    <w:lvl w:ilvl="5" w:tplc="EA7C2898">
      <w:numFmt w:val="bullet"/>
      <w:lvlText w:val="•"/>
      <w:lvlJc w:val="left"/>
      <w:pPr>
        <w:ind w:left="4464" w:hanging="360"/>
      </w:pPr>
      <w:rPr>
        <w:rFonts w:hint="default"/>
        <w:lang w:val="en-AU" w:eastAsia="en-US" w:bidi="ar-SA"/>
      </w:rPr>
    </w:lvl>
    <w:lvl w:ilvl="6" w:tplc="994A3D78">
      <w:numFmt w:val="bullet"/>
      <w:lvlText w:val="•"/>
      <w:lvlJc w:val="left"/>
      <w:pPr>
        <w:ind w:left="5492" w:hanging="360"/>
      </w:pPr>
      <w:rPr>
        <w:rFonts w:hint="default"/>
        <w:lang w:val="en-AU" w:eastAsia="en-US" w:bidi="ar-SA"/>
      </w:rPr>
    </w:lvl>
    <w:lvl w:ilvl="7" w:tplc="B3BE08F0">
      <w:numFmt w:val="bullet"/>
      <w:lvlText w:val="•"/>
      <w:lvlJc w:val="left"/>
      <w:pPr>
        <w:ind w:left="6520" w:hanging="360"/>
      </w:pPr>
      <w:rPr>
        <w:rFonts w:hint="default"/>
        <w:lang w:val="en-AU" w:eastAsia="en-US" w:bidi="ar-SA"/>
      </w:rPr>
    </w:lvl>
    <w:lvl w:ilvl="8" w:tplc="56E6489A">
      <w:numFmt w:val="bullet"/>
      <w:lvlText w:val="•"/>
      <w:lvlJc w:val="left"/>
      <w:pPr>
        <w:ind w:left="7548" w:hanging="360"/>
      </w:pPr>
      <w:rPr>
        <w:rFonts w:hint="default"/>
        <w:lang w:val="en-AU" w:eastAsia="en-US" w:bidi="ar-SA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53D8F47C"/>
    <w:lvl w:ilvl="0" w:tplc="D66C7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0"/>
    <w:rsid w:val="00080F8F"/>
    <w:rsid w:val="0010384C"/>
    <w:rsid w:val="001659AD"/>
    <w:rsid w:val="00174117"/>
    <w:rsid w:val="001E4945"/>
    <w:rsid w:val="00311E6E"/>
    <w:rsid w:val="00375F4D"/>
    <w:rsid w:val="003A3BDD"/>
    <w:rsid w:val="003F7970"/>
    <w:rsid w:val="004A145A"/>
    <w:rsid w:val="00501C66"/>
    <w:rsid w:val="00545B26"/>
    <w:rsid w:val="00550873"/>
    <w:rsid w:val="005B055B"/>
    <w:rsid w:val="005D386E"/>
    <w:rsid w:val="00685A2F"/>
    <w:rsid w:val="006F5336"/>
    <w:rsid w:val="007265D0"/>
    <w:rsid w:val="00732E22"/>
    <w:rsid w:val="00741C20"/>
    <w:rsid w:val="007E1447"/>
    <w:rsid w:val="007F44F4"/>
    <w:rsid w:val="0089714D"/>
    <w:rsid w:val="008D4B44"/>
    <w:rsid w:val="00904077"/>
    <w:rsid w:val="00937A4A"/>
    <w:rsid w:val="00954CE5"/>
    <w:rsid w:val="009A022C"/>
    <w:rsid w:val="009F3B2A"/>
    <w:rsid w:val="00A6162D"/>
    <w:rsid w:val="00AA24A6"/>
    <w:rsid w:val="00AA4DE7"/>
    <w:rsid w:val="00AC6DCC"/>
    <w:rsid w:val="00B75ED6"/>
    <w:rsid w:val="00C75E67"/>
    <w:rsid w:val="00CB1501"/>
    <w:rsid w:val="00CD7A50"/>
    <w:rsid w:val="00CE2F40"/>
    <w:rsid w:val="00CF0D8A"/>
    <w:rsid w:val="00D16F0A"/>
    <w:rsid w:val="00D26968"/>
    <w:rsid w:val="00D35D91"/>
    <w:rsid w:val="00D6589B"/>
    <w:rsid w:val="00DA01A5"/>
    <w:rsid w:val="00DA0AD1"/>
    <w:rsid w:val="00DA0F93"/>
    <w:rsid w:val="00E03360"/>
    <w:rsid w:val="00E50FD6"/>
    <w:rsid w:val="00F45B99"/>
    <w:rsid w:val="00F77CE0"/>
    <w:rsid w:val="00F9758D"/>
    <w:rsid w:val="00FA5FFC"/>
    <w:rsid w:val="00FB5F35"/>
    <w:rsid w:val="00FE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383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D35D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SoC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3" ma:contentTypeDescription="Create a new document." ma:contentTypeScope="" ma:versionID="d2c6655f327bca39bbf0bc0ae0e25d00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b7c6d6aae292b57be4cbe67fbf66b5b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F356D-9CB4-47AB-B930-AAEEDAB0C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E04C8-A7C6-43A4-B21D-8C6914D75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27FFC1-558F-4A73-B93D-9D8041829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</Words>
  <Characters>1427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1675</CharactersWithSpaces>
  <SharedDoc>false</SharedDoc>
  <HyperlinkBase>https://www.cabinet.qld.gov.au/documents/2021/Oct/PTAM 2021/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13</cp:revision>
  <cp:lastPrinted>2021-10-08T06:52:00Z</cp:lastPrinted>
  <dcterms:created xsi:type="dcterms:W3CDTF">2021-09-30T02:34:00Z</dcterms:created>
  <dcterms:modified xsi:type="dcterms:W3CDTF">2022-03-10T06:44:00Z</dcterms:modified>
  <cp:category>Boards,Financial_Administration,Legislation,Public_Trustee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